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ascii="sans-serif" w:hAnsi="sans-serif" w:eastAsia="sans-serif" w:cs="sans-serif"/>
          <w:i w:val="0"/>
          <w:caps w:val="0"/>
          <w:color w:val="000000"/>
          <w:spacing w:val="0"/>
          <w:sz w:val="24"/>
          <w:szCs w:val="24"/>
        </w:rPr>
        <w:t>​</w:t>
      </w:r>
      <w:r>
        <w:rPr>
          <w:rFonts w:ascii="Verdana" w:hAnsi="Verdana" w:eastAsia="宋体" w:cs="Verdana"/>
          <w:i w:val="0"/>
          <w:caps w:val="0"/>
          <w:color w:val="333333"/>
          <w:spacing w:val="0"/>
          <w:sz w:val="21"/>
          <w:szCs w:val="21"/>
          <w:shd w:val="clear" w:fill="FFFFFD"/>
        </w:rPr>
        <w:t>摘 要：近年来我国经济快速发展，通货膨胀现象随之而来，再加上科学技术进步的日新月异，导致企业设备贬值加快，企业采取直线法计提折旧收回的成本往往不能维持企业固定资产的再生产。为了应对这种状况和鼓励采用新技术，国务院总理李克强在国务院常务会议中指出：要完善现行固定资产加速折旧政策，通过减轻税负，加快企业设备更新、科技研发创新。本文对双倍余额递减法计提折旧为例，分析了加速计提折旧费用对企业所得税、成本与费用、利润以及现金流量的影响，揭示了采用加速计提折旧费用的方法对企业经营的意义。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关键词：双倍余额递减法；加速计提折旧；通货膨胀；影响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一、双倍余额递减法计提折旧概述与其会计处理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1.双倍余额递减法概述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双倍余额递减法不考虑固定资产净残值率的影响，以固定资产的期初余额为基础，以双倍的直线法折旧率为其折旧率计提折旧，在折旧率不变的情况下，折旧额随着年数的增加而减少。对于固定资产使用年限最后两年的折旧计提问题，为了防止固定资产的账面净值与预计净残值不等，一般改用直线法计提折旧。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2.双倍余额递减法的会计处理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由于固定资产损耗的价值是企业成本费用的一个组成部分，因此企业应按月将固定资产计提的折旧额进行归集和反映，按固定资产提供服务的部门，借记“制造费用”、“管理费用”、“其他业务成本”等账户，贷记“累计折旧”账户。</w:t>
      </w:r>
      <w:bookmarkEnd w:id="0"/>
      <w:r>
        <w:rPr>
          <w:rFonts w:hint="default" w:ascii="Verdana" w:hAnsi="Verdana" w:eastAsia="宋体" w:cs="Verdana"/>
          <w:i w:val="0"/>
          <w:caps w:val="0"/>
          <w:color w:val="333333"/>
          <w:spacing w:val="0"/>
          <w:sz w:val="21"/>
          <w:szCs w:val="21"/>
          <w:shd w:val="clear" w:fill="FFFFFD"/>
        </w:rPr>
        <w:t>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例如，管理部门的固定资产计提折旧，应做如下分录：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借：管理费用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贷：累计折旧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生产部门所用的固定资产计提折旧，应做如下分录：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借：制造费用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贷：累计折旧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归集生产成本时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借：生产成本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贷：制造费用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二、采用双倍余额递减法对企业所得税的影响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假设公司购入一台设备，原价500000元，预计净残值为0，预计使用寿命5年，适用的企业所得税税率为25%，假设折现率为10%。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（1）采用双倍余额递减法计提折旧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表一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年次年初账面净值折旧率折旧额累计折旧额期末账面净值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150000040%200000200000300000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230000040%120000320000180000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318000040%72000392000108000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4108000——5400044600054000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554000——540005000000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采取双倍余额递减法对企业所得税的影响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表二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年次折旧额税负减少额税负减少额净值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12000005000045454.55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21200003000024793.39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3720001800013523.67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4540001600010928.22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554000160009934.74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五年累计税负减少额净值为：45454.55+24793.39+13523.67+10928.22+9934.74=104634.57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（2）采取直线法对企业所得税额的影响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表三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年次折旧额税负减少额税负减少额净值累计税负减少额净值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11000002500022727.2722727.27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21000002500020661.1643388.43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31000002500018782.8762171.3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41000002500017075.3479246.64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51000002500015523.0394769.67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通过表二和表三我们可以看出，企业采用直线法计提折旧，在其它条件相同的情况下，会使企业当期的利润总额升高，进而当期应纳所得税额增加，更多的现金流出企业，企业自身可以用于投资的资金减少，不利于企业的生产经营。通过计算以上两种折旧方法，会发现双倍余额递减法折旧额前期多，使得应纳所得税额减少，能够最大程度的发挥节税效应，在企业前期发展需要大量资金时，能够为企业提供更多的现金流，使得企业有充足的资金来运行，发展。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三、采用加速计提折旧的方法对成本费用的影响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由于固定资产的各项支出费用占企业生产经营费用极大的比重，生产成本的高低又对企业利润有重要影响，进而影响企业应缴纳的所得税费用。由表二、表三可以看出，相比直线法，双倍余额递减法前期提的折旧额较多，使得企业折旧费用增加，但后期双倍余额递减法计提的折旧少，由折旧产生的费用减少。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同时在科技发展飞速发展的今天，企业更应重视科技发展的因素带来的无形损耗给资产带来的影响，采用加速折旧法可以尽早的收回固定资产成本，从而减小通货膨胀给固定资产成本的收回带来的风险，加速固定资产更新的速度。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四、采取加速计提折旧的方法对利润表和现金流量表的影响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利润表是根据“收入—费用=利润”的会计等式来编制的，利润表项目由收入、费用和利润三大项目组成。构成固定资产折旧要计入生产成本或期间费用（管理费用或销售费用），计入生产成本或期间费用的折旧，从主营业务成本或费用上直接冲抵主营业务收入，从而影响本期利润，利润表的营业利润，使利润减少。采用直线法和加速折旧法计提折旧相比，在企业生产经营采取直线法计提折旧前期利润较高，而采用加速折旧法在后期利润较高。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由表2、表3可知，采用双倍余额递减法计提折旧节税的净现值最大，节税效果最好。而净现值这一指标评判着企业投资活动的获利能力的绝对指标，能够决定投资方案的实施与否。如果企业某一会计期间折旧额越多，当期利润减少，相应地当期应纳所得税额减少，当期现金流出量减少，留存在企业中可用于投资的自有资金增加，有利于企业更快更好地发展。同时在通货膨胀现象较为严重的今天，采用加速计提折旧的方法可以尽快收回固定资产的成本，加速固定资产更新速度，减少通货膨胀对企业收回固定资产成本的影响。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五、结论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在科技高速发展的今天，采取加速计提折旧的方法不仅能尽早收回固定资产的成本减少通货膨胀对固定资产成本收回的影响，而且能起到节税的作用，使企业节税额的净现值增加，有助于增强企业的投资能力。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但并不是所有企业都适用于加速折旧法，企业应当根据其自身生产经营的性质，结合所采用的会计政策与税法的差异，来综合考虑、选择适合自身的计提折旧的方法。并且利用根据企业自身性质选择相应的税收优惠政策，达到节税的效果，增加企业可用于投资的自有资金，使企业能够更好、更快地发展。（作者单位：天津财经大学商学院）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w:t>
      </w:r>
      <w:r>
        <w:rPr>
          <w:rFonts w:hint="default" w:ascii="sans-serif" w:hAnsi="sans-serif" w:eastAsia="sans-serif" w:cs="sans-serif"/>
          <w:i w:val="0"/>
          <w:caps w:val="0"/>
          <w:color w:val="000000"/>
          <w:spacing w:val="0"/>
          <w:sz w:val="24"/>
          <w:szCs w:val="24"/>
          <w:u w:val="single"/>
        </w:rPr>
        <w:t>参考文献</w:t>
      </w:r>
      <w:r>
        <w:rPr>
          <w:rFonts w:hint="default" w:ascii="Verdana" w:hAnsi="Verdana" w:eastAsia="宋体" w:cs="Verdana"/>
          <w:i w:val="0"/>
          <w:caps w:val="0"/>
          <w:color w:val="333333"/>
          <w:spacing w:val="0"/>
          <w:sz w:val="21"/>
          <w:szCs w:val="21"/>
          <w:shd w:val="clear" w:fill="FFFFFD"/>
        </w:rPr>
        <w:t>：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 盖地，赵书和.中级财务会计[J].经济科学出版社，2010.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 李洋.固定资产折旧对企业所得税的影响[J].财会通讯，2009（08）.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[3] 梁玉珠.固定资产折旧双倍余额递减法的应用[J].现代商业，2010（06）.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64260"/>
    <w:rsid w:val="0F1D442C"/>
    <w:rsid w:val="0F2310C0"/>
    <w:rsid w:val="0FAE1B13"/>
    <w:rsid w:val="0FB7564B"/>
    <w:rsid w:val="0FC83F3F"/>
    <w:rsid w:val="10536B96"/>
    <w:rsid w:val="10B0495C"/>
    <w:rsid w:val="10E618AD"/>
    <w:rsid w:val="12140126"/>
    <w:rsid w:val="12577645"/>
    <w:rsid w:val="1269337A"/>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1F21BC9"/>
    <w:rsid w:val="22874063"/>
    <w:rsid w:val="22AC5CAB"/>
    <w:rsid w:val="2378703F"/>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331EA5"/>
    <w:rsid w:val="307644E1"/>
    <w:rsid w:val="315A1F3B"/>
    <w:rsid w:val="326906D2"/>
    <w:rsid w:val="32AF3CBB"/>
    <w:rsid w:val="33642D74"/>
    <w:rsid w:val="33D14B8F"/>
    <w:rsid w:val="33DF61D8"/>
    <w:rsid w:val="34541BDF"/>
    <w:rsid w:val="34835DFD"/>
    <w:rsid w:val="3754629D"/>
    <w:rsid w:val="37ED0BB0"/>
    <w:rsid w:val="38ED5F8E"/>
    <w:rsid w:val="3ADF5828"/>
    <w:rsid w:val="3B893068"/>
    <w:rsid w:val="3CC673A3"/>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E6C24DD"/>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358</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